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F8" w:rsidRDefault="009762F8" w:rsidP="00756671">
      <w:pPr>
        <w:outlineLvl w:val="0"/>
        <w:rPr>
          <w:rFonts w:ascii="Arial" w:hAnsi="Arial"/>
          <w:sz w:val="20"/>
        </w:rPr>
      </w:pPr>
      <w:r>
        <w:rPr>
          <w:rFonts w:ascii="Arial" w:hAnsi="Arial"/>
          <w:sz w:val="20"/>
        </w:rPr>
        <w:t>Original author:</w:t>
      </w:r>
      <w:r w:rsidR="001F6FF8">
        <w:rPr>
          <w:rFonts w:ascii="Arial" w:hAnsi="Arial"/>
          <w:sz w:val="20"/>
        </w:rPr>
        <w:t xml:space="preserve"> Christopher Moskaluk</w:t>
      </w:r>
    </w:p>
    <w:p w:rsidR="009762F8" w:rsidRDefault="009762F8" w:rsidP="00757ABD">
      <w:pPr>
        <w:rPr>
          <w:rFonts w:ascii="Arial" w:hAnsi="Arial"/>
          <w:sz w:val="20"/>
        </w:rPr>
      </w:pPr>
      <w:r>
        <w:rPr>
          <w:rFonts w:ascii="Arial" w:hAnsi="Arial"/>
          <w:sz w:val="20"/>
        </w:rPr>
        <w:t>Author of latest version:</w:t>
      </w:r>
    </w:p>
    <w:p w:rsidR="00EC58CC" w:rsidRPr="006115ED" w:rsidRDefault="00EC58CC" w:rsidP="00756671">
      <w:pPr>
        <w:outlineLvl w:val="0"/>
        <w:rPr>
          <w:rFonts w:ascii="Arial" w:hAnsi="Arial"/>
          <w:sz w:val="20"/>
        </w:rPr>
      </w:pPr>
      <w:r w:rsidRPr="006115ED">
        <w:rPr>
          <w:rFonts w:ascii="Arial" w:hAnsi="Arial"/>
          <w:sz w:val="20"/>
        </w:rPr>
        <w:t>Authorizer: Christopher Moskaluk, LCBRN Principal Investigator</w:t>
      </w:r>
    </w:p>
    <w:p w:rsidR="00EC58CC" w:rsidRPr="006115ED" w:rsidRDefault="00EC58CC" w:rsidP="00757ABD">
      <w:pPr>
        <w:rPr>
          <w:rFonts w:ascii="Arial" w:hAnsi="Arial"/>
          <w:sz w:val="20"/>
        </w:rPr>
      </w:pPr>
      <w:r w:rsidRPr="006115ED">
        <w:rPr>
          <w:rFonts w:ascii="Arial" w:hAnsi="Arial"/>
          <w:sz w:val="20"/>
        </w:rPr>
        <w:t>Last review date:</w:t>
      </w:r>
      <w:r w:rsidR="000448FD">
        <w:rPr>
          <w:rFonts w:ascii="Arial" w:hAnsi="Arial"/>
          <w:sz w:val="20"/>
        </w:rPr>
        <w:t xml:space="preserve"> August 11, 2011</w:t>
      </w:r>
    </w:p>
    <w:p w:rsidR="00757ABD" w:rsidRPr="00EC58CC" w:rsidRDefault="00757ABD" w:rsidP="00757ABD">
      <w:pPr>
        <w:rPr>
          <w:rFonts w:ascii="Arial" w:hAnsi="Arial"/>
        </w:rPr>
      </w:pPr>
    </w:p>
    <w:p w:rsidR="00FD4347" w:rsidRPr="00EC58CC" w:rsidRDefault="00FD4347" w:rsidP="00756671">
      <w:pPr>
        <w:outlineLvl w:val="0"/>
        <w:rPr>
          <w:rFonts w:ascii="Arial" w:hAnsi="Arial"/>
          <w:u w:val="single"/>
        </w:rPr>
      </w:pPr>
      <w:r w:rsidRPr="00EC58CC">
        <w:rPr>
          <w:rFonts w:ascii="Arial" w:hAnsi="Arial"/>
          <w:u w:val="single"/>
        </w:rPr>
        <w:t>Purpose</w:t>
      </w:r>
    </w:p>
    <w:p w:rsidR="00273E68" w:rsidRPr="001F6FF8" w:rsidRDefault="00273E68" w:rsidP="00756671">
      <w:pPr>
        <w:outlineLvl w:val="0"/>
        <w:rPr>
          <w:rFonts w:ascii="Arial" w:hAnsi="Arial" w:cs="Helvetica"/>
          <w:color w:val="000000"/>
          <w:szCs w:val="17"/>
        </w:rPr>
      </w:pPr>
      <w:r w:rsidRPr="001F6FF8">
        <w:rPr>
          <w:rFonts w:ascii="Arial" w:hAnsi="Arial" w:cs="Helvetica"/>
          <w:color w:val="000000"/>
          <w:szCs w:val="17"/>
        </w:rPr>
        <w:t>To obtain blood samples from a research subject using venipuncture.</w:t>
      </w:r>
    </w:p>
    <w:p w:rsidR="00273E68" w:rsidRDefault="00273E68" w:rsidP="00757ABD">
      <w:pPr>
        <w:rPr>
          <w:rFonts w:ascii="Arial" w:hAnsi="Arial"/>
          <w:u w:val="single"/>
        </w:rPr>
      </w:pPr>
    </w:p>
    <w:p w:rsidR="00FD4347" w:rsidRPr="00EC58CC" w:rsidRDefault="00FD4347" w:rsidP="00756671">
      <w:pPr>
        <w:outlineLvl w:val="0"/>
        <w:rPr>
          <w:rFonts w:ascii="Arial" w:hAnsi="Arial"/>
          <w:u w:val="single"/>
        </w:rPr>
      </w:pPr>
      <w:r w:rsidRPr="00EC58CC">
        <w:rPr>
          <w:rFonts w:ascii="Arial" w:hAnsi="Arial"/>
          <w:u w:val="single"/>
        </w:rPr>
        <w:t>Responsibility</w:t>
      </w:r>
    </w:p>
    <w:p w:rsidR="001F6FF8" w:rsidRDefault="001F6FF8" w:rsidP="001F6FF8">
      <w:pPr>
        <w:rPr>
          <w:rFonts w:ascii="Arial" w:hAnsi="Arial"/>
        </w:rPr>
      </w:pPr>
      <w:r>
        <w:rPr>
          <w:rFonts w:ascii="Arial" w:hAnsi="Arial"/>
        </w:rPr>
        <w:t>Personnel associated with the LCBRN Biospecimen Resource Sites who are trained in venipuncture are responsible for carrying out these procedures competently and safely. Data entry into the LCBRN online database may be carried out by different personnel than those entering data onto the LCBRN Biofluid Collection Form at the time of procurement.</w:t>
      </w:r>
    </w:p>
    <w:p w:rsidR="001F6FF8" w:rsidRDefault="001F6FF8" w:rsidP="001F6FF8">
      <w:pPr>
        <w:rPr>
          <w:rFonts w:ascii="Arial" w:hAnsi="Arial"/>
        </w:rPr>
      </w:pPr>
    </w:p>
    <w:p w:rsidR="001F6FF8" w:rsidRDefault="001F6FF8" w:rsidP="001F6FF8">
      <w:pPr>
        <w:rPr>
          <w:rFonts w:ascii="Arial" w:hAnsi="Arial"/>
        </w:rPr>
      </w:pPr>
      <w:r>
        <w:rPr>
          <w:rFonts w:ascii="Arial" w:hAnsi="Arial"/>
        </w:rPr>
        <w:t>All personnel handling human biosamples must have training in, and adhere to, universal biohazard precautions and human subject research ethics/confidentiality principles.</w:t>
      </w:r>
    </w:p>
    <w:p w:rsidR="00FD4347" w:rsidRDefault="00FD4347" w:rsidP="00757ABD">
      <w:pPr>
        <w:rPr>
          <w:rFonts w:ascii="Arial" w:hAnsi="Arial"/>
        </w:rPr>
      </w:pPr>
    </w:p>
    <w:p w:rsidR="00757ABD" w:rsidRPr="00EC58CC" w:rsidRDefault="00FD4347" w:rsidP="00756671">
      <w:pPr>
        <w:outlineLvl w:val="0"/>
        <w:rPr>
          <w:rFonts w:ascii="Arial" w:hAnsi="Arial"/>
          <w:u w:val="single"/>
        </w:rPr>
      </w:pPr>
      <w:r w:rsidRPr="00EC58CC">
        <w:rPr>
          <w:rFonts w:ascii="Arial" w:hAnsi="Arial"/>
          <w:u w:val="single"/>
        </w:rPr>
        <w:t>Equipment/Reagents</w:t>
      </w:r>
    </w:p>
    <w:p w:rsidR="001F6FF8" w:rsidRPr="001F6FF8" w:rsidRDefault="001F6FF8" w:rsidP="001F6FF8">
      <w:pPr>
        <w:pStyle w:val="ListParagraph"/>
        <w:numPr>
          <w:ilvl w:val="0"/>
          <w:numId w:val="1"/>
        </w:numPr>
        <w:rPr>
          <w:rFonts w:ascii="Arial" w:hAnsi="Arial"/>
        </w:rPr>
      </w:pPr>
      <w:r w:rsidRPr="001F6FF8">
        <w:rPr>
          <w:rFonts w:ascii="Arial" w:hAnsi="Arial"/>
        </w:rPr>
        <w:t>LCBRN blood collection kit containing collection tubes and labels.</w:t>
      </w:r>
    </w:p>
    <w:p w:rsidR="001F6FF8" w:rsidRDefault="001F6FF8" w:rsidP="001F6FF8">
      <w:pPr>
        <w:pStyle w:val="ListParagraph"/>
        <w:numPr>
          <w:ilvl w:val="0"/>
          <w:numId w:val="1"/>
        </w:numPr>
        <w:rPr>
          <w:rFonts w:ascii="Arial" w:hAnsi="Arial"/>
        </w:rPr>
      </w:pPr>
      <w:r>
        <w:rPr>
          <w:rFonts w:ascii="Arial" w:hAnsi="Arial"/>
        </w:rPr>
        <w:t>A blank LCBRN Biofluid Collection Form.</w:t>
      </w:r>
    </w:p>
    <w:p w:rsidR="001F6FF8" w:rsidRDefault="001F6FF8" w:rsidP="001F6FF8">
      <w:pPr>
        <w:pStyle w:val="ListParagraph"/>
        <w:numPr>
          <w:ilvl w:val="0"/>
          <w:numId w:val="1"/>
        </w:numPr>
        <w:rPr>
          <w:rFonts w:ascii="Arial" w:hAnsi="Arial"/>
        </w:rPr>
      </w:pPr>
      <w:r>
        <w:rPr>
          <w:rFonts w:ascii="Arial" w:hAnsi="Arial"/>
        </w:rPr>
        <w:t>Blood collection system (sterile needles and vacutainer holder or butterfly needle and syringe)</w:t>
      </w:r>
    </w:p>
    <w:p w:rsidR="000448FD" w:rsidRPr="000448FD" w:rsidRDefault="000448FD" w:rsidP="000448FD">
      <w:pPr>
        <w:ind w:left="360"/>
        <w:rPr>
          <w:rFonts w:ascii="Arial" w:hAnsi="Arial"/>
        </w:rPr>
      </w:pPr>
      <w:r w:rsidRPr="000448FD">
        <w:rPr>
          <w:rFonts w:ascii="Arial" w:hAnsi="Arial"/>
        </w:rPr>
        <w:t>Note: Permissible needle gauges for blood draw: 22 gauge or smaller (following WHO Best Practices in Phlebotomy)</w:t>
      </w:r>
    </w:p>
    <w:p w:rsidR="00757ABD" w:rsidRPr="001F6FF8" w:rsidRDefault="001F6FF8" w:rsidP="001F6FF8">
      <w:pPr>
        <w:pStyle w:val="ListParagraph"/>
        <w:numPr>
          <w:ilvl w:val="0"/>
          <w:numId w:val="1"/>
        </w:numPr>
        <w:rPr>
          <w:rFonts w:ascii="Arial" w:hAnsi="Arial"/>
        </w:rPr>
      </w:pPr>
      <w:r>
        <w:rPr>
          <w:rFonts w:ascii="Arial" w:hAnsi="Arial"/>
        </w:rPr>
        <w:t>Protective gear (eye/</w:t>
      </w:r>
      <w:proofErr w:type="spellStart"/>
      <w:r>
        <w:rPr>
          <w:rFonts w:ascii="Arial" w:hAnsi="Arial"/>
        </w:rPr>
        <w:t>faceshield</w:t>
      </w:r>
      <w:proofErr w:type="spellEnd"/>
      <w:r>
        <w:rPr>
          <w:rFonts w:ascii="Arial" w:hAnsi="Arial"/>
        </w:rPr>
        <w:t>, disposable gloves, appropriate lab attire).</w:t>
      </w:r>
    </w:p>
    <w:p w:rsidR="001F6FF8" w:rsidRDefault="001F6FF8" w:rsidP="00757ABD">
      <w:pPr>
        <w:rPr>
          <w:rFonts w:ascii="Arial" w:hAnsi="Arial"/>
          <w:u w:val="single"/>
        </w:rPr>
      </w:pPr>
    </w:p>
    <w:p w:rsidR="00FD4347" w:rsidRPr="00EC58CC" w:rsidRDefault="00FD4347" w:rsidP="00756671">
      <w:pPr>
        <w:outlineLvl w:val="0"/>
        <w:rPr>
          <w:rFonts w:ascii="Arial" w:hAnsi="Arial"/>
          <w:u w:val="single"/>
        </w:rPr>
      </w:pPr>
      <w:r w:rsidRPr="00EC58CC">
        <w:rPr>
          <w:rFonts w:ascii="Arial" w:hAnsi="Arial"/>
          <w:u w:val="single"/>
        </w:rPr>
        <w:t>Procedure</w:t>
      </w:r>
    </w:p>
    <w:p w:rsidR="00756671" w:rsidRPr="00756671" w:rsidRDefault="00756671"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A vacuum collection system will be used for venipuncture where possible. Syringes and needles may be used in place of the vacuum collection system in special circumstances. Materials should be gathered and placed adjacent to subject prior to venipuncture.</w:t>
      </w:r>
    </w:p>
    <w:p w:rsidR="00CE44D7" w:rsidRPr="00756671" w:rsidRDefault="00CE44D7"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The research </w:t>
      </w:r>
      <w:r w:rsidR="00756671">
        <w:rPr>
          <w:rFonts w:ascii="Arial" w:hAnsi="Arial" w:cs="Helvetica"/>
          <w:color w:val="000000"/>
          <w:szCs w:val="17"/>
        </w:rPr>
        <w:t>subject</w:t>
      </w:r>
      <w:r w:rsidRPr="00756671">
        <w:rPr>
          <w:rFonts w:ascii="Arial" w:hAnsi="Arial" w:cs="Helvetica"/>
          <w:color w:val="000000"/>
          <w:szCs w:val="17"/>
        </w:rPr>
        <w:t xml:space="preserve">’s arm will be </w:t>
      </w:r>
      <w:proofErr w:type="spellStart"/>
      <w:r w:rsidRPr="00756671">
        <w:rPr>
          <w:rFonts w:ascii="Arial" w:hAnsi="Arial" w:cs="Helvetica"/>
          <w:color w:val="000000"/>
          <w:szCs w:val="17"/>
        </w:rPr>
        <w:t>hyperextended</w:t>
      </w:r>
      <w:proofErr w:type="spellEnd"/>
      <w:r w:rsidRPr="00756671">
        <w:rPr>
          <w:rFonts w:ascii="Arial" w:hAnsi="Arial" w:cs="Helvetica"/>
          <w:color w:val="000000"/>
          <w:szCs w:val="17"/>
        </w:rPr>
        <w:t xml:space="preserve"> and positioned comfortably on the armrest of the venipuncture chair/couch as appropriate.</w:t>
      </w:r>
      <w:r w:rsidR="00756671">
        <w:rPr>
          <w:rFonts w:ascii="Arial" w:hAnsi="Arial" w:cs="Helvetica"/>
          <w:color w:val="000000"/>
          <w:szCs w:val="17"/>
        </w:rPr>
        <w:t xml:space="preserve"> </w:t>
      </w:r>
    </w:p>
    <w:p w:rsidR="00CE44D7" w:rsidRPr="00756671" w:rsidRDefault="001F6FF8"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A</w:t>
      </w:r>
      <w:r w:rsidR="00CE44D7" w:rsidRPr="00756671">
        <w:rPr>
          <w:rFonts w:ascii="Arial" w:hAnsi="Arial" w:cs="Helvetica"/>
          <w:color w:val="000000"/>
          <w:szCs w:val="17"/>
        </w:rPr>
        <w:t xml:space="preserve"> tourniquet will be applied 3–4 inches above the selected puncture site and will not be left in position for longer than two minutes.</w:t>
      </w:r>
    </w:p>
    <w:p w:rsidR="00CE44D7" w:rsidRPr="00756671" w:rsidRDefault="00CE44D7"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The research </w:t>
      </w:r>
      <w:r w:rsidR="00756671">
        <w:rPr>
          <w:rFonts w:ascii="Arial" w:hAnsi="Arial" w:cs="Helvetica"/>
          <w:color w:val="000000"/>
          <w:szCs w:val="17"/>
        </w:rPr>
        <w:t>subject</w:t>
      </w:r>
      <w:r w:rsidRPr="00756671">
        <w:rPr>
          <w:rFonts w:ascii="Arial" w:hAnsi="Arial" w:cs="Helvetica"/>
          <w:color w:val="000000"/>
          <w:szCs w:val="17"/>
        </w:rPr>
        <w:t xml:space="preserve"> will be asked to make a fist without pumping the hand. </w:t>
      </w:r>
    </w:p>
    <w:p w:rsidR="00CE44D7" w:rsidRPr="00756671" w:rsidRDefault="00CE44D7"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The puncture site will be cleansed using an alcohol-containing swab (or other cleansing swab proscribed by the health institution) in a circular motion from the center to the periphery. </w:t>
      </w:r>
    </w:p>
    <w:p w:rsidR="00CE44D7" w:rsidRPr="00756671" w:rsidRDefault="00CE44D7"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The cleansed site will be allowed to air dry prior to venipuncture. </w:t>
      </w:r>
    </w:p>
    <w:p w:rsidR="00CE44D7" w:rsidRDefault="00CE44D7"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The research </w:t>
      </w:r>
      <w:r w:rsidR="00756671">
        <w:rPr>
          <w:rFonts w:ascii="Arial" w:hAnsi="Arial" w:cs="Helvetica"/>
          <w:color w:val="000000"/>
          <w:szCs w:val="17"/>
        </w:rPr>
        <w:t>subject</w:t>
      </w:r>
      <w:r w:rsidRPr="00756671">
        <w:rPr>
          <w:rFonts w:ascii="Arial" w:hAnsi="Arial" w:cs="Helvetica"/>
          <w:color w:val="000000"/>
          <w:szCs w:val="17"/>
        </w:rPr>
        <w:t xml:space="preserve">’s vein will be anchored and the needle will then be inserted through the skin, bevel edge uppermost, into the lumen of the </w:t>
      </w:r>
      <w:r w:rsidRPr="00756671">
        <w:rPr>
          <w:rFonts w:ascii="Arial" w:hAnsi="Arial" w:cs="Helvetica"/>
          <w:color w:val="000000"/>
          <w:szCs w:val="17"/>
        </w:rPr>
        <w:lastRenderedPageBreak/>
        <w:t xml:space="preserve">vein. </w:t>
      </w:r>
    </w:p>
    <w:p w:rsidR="00756671" w:rsidRPr="00756671" w:rsidRDefault="00756671"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The research </w:t>
      </w:r>
      <w:r>
        <w:rPr>
          <w:rFonts w:ascii="Arial" w:hAnsi="Arial" w:cs="Helvetica"/>
          <w:color w:val="000000"/>
          <w:szCs w:val="17"/>
        </w:rPr>
        <w:t>subject</w:t>
      </w:r>
      <w:r w:rsidRPr="00756671">
        <w:rPr>
          <w:rFonts w:ascii="Arial" w:hAnsi="Arial" w:cs="Helvetica"/>
          <w:color w:val="000000"/>
          <w:szCs w:val="17"/>
        </w:rPr>
        <w:t xml:space="preserve">’s arm will not be placed in a bent position at any time following venipuncture. </w:t>
      </w:r>
    </w:p>
    <w:p w:rsidR="00CE44D7" w:rsidRPr="00756671" w:rsidRDefault="00CE44D7"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The tourniquet will be released when the last collection tube to be drawn is filling. </w:t>
      </w:r>
    </w:p>
    <w:p w:rsidR="00CE44D7" w:rsidRPr="00756671" w:rsidRDefault="00CE44D7"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Clean dry gauze or cotton wool will be placed on the venipuncture site and the needle will be removed in a swift backward motion using a needle protector. </w:t>
      </w:r>
    </w:p>
    <w:p w:rsidR="00CE44D7" w:rsidRPr="00756671" w:rsidRDefault="00CE44D7"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The research personnel will press down on the gauze/cotton wool once the needle has been drawn out of the vein applying adequate pressure to avoid formation of a hematoma. </w:t>
      </w:r>
    </w:p>
    <w:p w:rsidR="00CE44D7" w:rsidRPr="00756671" w:rsidRDefault="00CE44D7"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The research </w:t>
      </w:r>
      <w:r w:rsidR="00756671">
        <w:rPr>
          <w:rFonts w:ascii="Arial" w:hAnsi="Arial" w:cs="Helvetica"/>
          <w:color w:val="000000"/>
          <w:szCs w:val="17"/>
        </w:rPr>
        <w:t>subject</w:t>
      </w:r>
      <w:r w:rsidRPr="00756671">
        <w:rPr>
          <w:rFonts w:ascii="Arial" w:hAnsi="Arial" w:cs="Helvetica"/>
          <w:color w:val="000000"/>
          <w:szCs w:val="17"/>
        </w:rPr>
        <w:t xml:space="preserve">’s arm will be inspected to ensure bleeding has stopped and an adhesive bandage or taped gauze pad will be applied. </w:t>
      </w:r>
    </w:p>
    <w:p w:rsidR="00CE44D7" w:rsidRDefault="00CE44D7"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The research personnel will ensure that the research </w:t>
      </w:r>
      <w:r w:rsidR="00756671">
        <w:rPr>
          <w:rFonts w:ascii="Arial" w:hAnsi="Arial" w:cs="Helvetica"/>
          <w:color w:val="000000"/>
          <w:szCs w:val="17"/>
        </w:rPr>
        <w:t>subject</w:t>
      </w:r>
      <w:r w:rsidRPr="00756671">
        <w:rPr>
          <w:rFonts w:ascii="Arial" w:hAnsi="Arial" w:cs="Helvetica"/>
          <w:color w:val="000000"/>
          <w:szCs w:val="17"/>
        </w:rPr>
        <w:t xml:space="preserve"> has not experienced any adverse events from the venipuncture and will then assist them from the chair. </w:t>
      </w:r>
    </w:p>
    <w:p w:rsidR="00756671" w:rsidRPr="00756671" w:rsidRDefault="00756671"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Tubes containing anticoagulants must be properly mixed immediately after each is drawn by inverting the tube. See specific SOPs for number of inversions required. </w:t>
      </w:r>
    </w:p>
    <w:p w:rsidR="00273E68" w:rsidRPr="00756671" w:rsidRDefault="00CE44D7"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All contaminated materials/supplies will be disposed of in designated contaminated medical waste containers. </w:t>
      </w:r>
      <w:r w:rsidR="00756671">
        <w:rPr>
          <w:rFonts w:ascii="Arial" w:hAnsi="Arial" w:cs="Helvetica"/>
          <w:color w:val="000000"/>
          <w:szCs w:val="17"/>
        </w:rPr>
        <w:t xml:space="preserve">Needles will be disposed of in sharps containers also </w:t>
      </w:r>
      <w:r w:rsidR="00756671" w:rsidRPr="00756671">
        <w:rPr>
          <w:rFonts w:ascii="Arial" w:hAnsi="Arial" w:cs="Helvetica"/>
          <w:color w:val="000000"/>
          <w:szCs w:val="17"/>
        </w:rPr>
        <w:t xml:space="preserve">designated </w:t>
      </w:r>
      <w:r w:rsidR="00756671">
        <w:rPr>
          <w:rFonts w:ascii="Arial" w:hAnsi="Arial" w:cs="Helvetica"/>
          <w:color w:val="000000"/>
          <w:szCs w:val="17"/>
        </w:rPr>
        <w:t xml:space="preserve">as </w:t>
      </w:r>
      <w:r w:rsidR="00756671" w:rsidRPr="00756671">
        <w:rPr>
          <w:rFonts w:ascii="Arial" w:hAnsi="Arial" w:cs="Helvetica"/>
          <w:color w:val="000000"/>
          <w:szCs w:val="17"/>
        </w:rPr>
        <w:t>contaminated medical waste containers.</w:t>
      </w:r>
    </w:p>
    <w:p w:rsidR="00CE44D7" w:rsidRPr="00756671" w:rsidRDefault="001F6FF8"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 xml:space="preserve">Specified data is recorded </w:t>
      </w:r>
      <w:r w:rsidR="00273E68" w:rsidRPr="00756671">
        <w:rPr>
          <w:rFonts w:ascii="Arial" w:hAnsi="Arial" w:cs="Helvetica"/>
          <w:color w:val="000000"/>
          <w:szCs w:val="17"/>
        </w:rPr>
        <w:t>onto an LCB</w:t>
      </w:r>
      <w:r w:rsidRPr="00756671">
        <w:rPr>
          <w:rFonts w:ascii="Arial" w:hAnsi="Arial" w:cs="Helvetica"/>
          <w:color w:val="000000"/>
          <w:szCs w:val="17"/>
        </w:rPr>
        <w:t>RN Biofluid Collection Form, which is identified with the subject’s study ID and a duplicate label that matches the specimen tube label, as provided in the LCBRN specimen collection kit.</w:t>
      </w:r>
    </w:p>
    <w:p w:rsidR="00CE44D7" w:rsidRPr="00756671" w:rsidRDefault="001F6FF8" w:rsidP="007566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7"/>
        </w:rPr>
      </w:pPr>
      <w:r w:rsidRPr="00756671">
        <w:rPr>
          <w:rFonts w:ascii="Arial" w:hAnsi="Arial" w:cs="Helvetica"/>
          <w:color w:val="000000"/>
          <w:szCs w:val="17"/>
        </w:rPr>
        <w:t>Processing</w:t>
      </w:r>
      <w:r w:rsidR="00CE44D7" w:rsidRPr="00756671">
        <w:rPr>
          <w:rFonts w:ascii="Arial" w:hAnsi="Arial" w:cs="Helvetica"/>
          <w:color w:val="000000"/>
          <w:szCs w:val="17"/>
        </w:rPr>
        <w:t xml:space="preserve"> and a</w:t>
      </w:r>
      <w:r w:rsidRPr="00756671">
        <w:rPr>
          <w:rFonts w:ascii="Arial" w:hAnsi="Arial" w:cs="Helvetica"/>
          <w:color w:val="000000"/>
          <w:szCs w:val="17"/>
        </w:rPr>
        <w:t xml:space="preserve">liquoting of blood samples is </w:t>
      </w:r>
      <w:r w:rsidR="00CE44D7" w:rsidRPr="00756671">
        <w:rPr>
          <w:rFonts w:ascii="Arial" w:hAnsi="Arial" w:cs="Helvetica"/>
          <w:color w:val="000000"/>
          <w:szCs w:val="17"/>
        </w:rPr>
        <w:t>carried out as specified in separate SOPs.</w:t>
      </w:r>
    </w:p>
    <w:p w:rsidR="00FD4347" w:rsidRDefault="00FD4347" w:rsidP="00757ABD">
      <w:pPr>
        <w:rPr>
          <w:rFonts w:ascii="Arial" w:hAnsi="Arial"/>
        </w:rPr>
      </w:pPr>
    </w:p>
    <w:p w:rsidR="000448FD" w:rsidRPr="000448FD" w:rsidRDefault="000448FD" w:rsidP="00756671">
      <w:pPr>
        <w:outlineLvl w:val="0"/>
        <w:rPr>
          <w:rFonts w:ascii="Arial" w:hAnsi="Arial"/>
          <w:u w:val="single"/>
        </w:rPr>
      </w:pPr>
      <w:r w:rsidRPr="000448FD">
        <w:rPr>
          <w:rFonts w:ascii="Arial" w:hAnsi="Arial"/>
          <w:u w:val="single"/>
        </w:rPr>
        <w:t>References</w:t>
      </w:r>
    </w:p>
    <w:p w:rsidR="000448FD" w:rsidRDefault="000448FD" w:rsidP="00757ABD">
      <w:pPr>
        <w:rPr>
          <w:rFonts w:ascii="Arial" w:hAnsi="Arial"/>
        </w:rPr>
      </w:pPr>
    </w:p>
    <w:p w:rsidR="000448FD" w:rsidRDefault="000448FD" w:rsidP="00757ABD">
      <w:pPr>
        <w:rPr>
          <w:rFonts w:ascii="Arial" w:hAnsi="Arial"/>
        </w:rPr>
      </w:pPr>
      <w:r>
        <w:rPr>
          <w:rFonts w:ascii="Arial" w:hAnsi="Arial"/>
        </w:rPr>
        <w:t xml:space="preserve">Protocol adapted from: Guerin JS et al. (2010) </w:t>
      </w:r>
      <w:proofErr w:type="spellStart"/>
      <w:r>
        <w:rPr>
          <w:rFonts w:ascii="Arial" w:hAnsi="Arial"/>
        </w:rPr>
        <w:t>Biopreservation</w:t>
      </w:r>
      <w:proofErr w:type="spellEnd"/>
      <w:r>
        <w:rPr>
          <w:rFonts w:ascii="Arial" w:hAnsi="Arial"/>
        </w:rPr>
        <w:t xml:space="preserve"> and Banking 8:3-63.</w:t>
      </w:r>
    </w:p>
    <w:p w:rsidR="000448FD" w:rsidRDefault="000448FD" w:rsidP="00757ABD">
      <w:pPr>
        <w:rPr>
          <w:rFonts w:ascii="Arial" w:hAnsi="Arial"/>
        </w:rPr>
      </w:pPr>
    </w:p>
    <w:p w:rsidR="000448FD" w:rsidRPr="007D3316" w:rsidRDefault="000448FD" w:rsidP="000448FD">
      <w:pPr>
        <w:rPr>
          <w:rFonts w:ascii="Arial" w:hAnsi="Arial"/>
        </w:rPr>
      </w:pPr>
      <w:r>
        <w:rPr>
          <w:rFonts w:ascii="Helvetica" w:hAnsi="Helvetica" w:cs="Helvetica"/>
        </w:rPr>
        <w:t>WHO guidelines for drawing blood: Best practices in phlebotomy (WHO Press, Geneva) (2010)</w:t>
      </w:r>
    </w:p>
    <w:p w:rsidR="000448FD" w:rsidRDefault="000448FD" w:rsidP="00757ABD">
      <w:pPr>
        <w:rPr>
          <w:rFonts w:ascii="Arial" w:hAnsi="Arial"/>
        </w:rPr>
      </w:pPr>
    </w:p>
    <w:p w:rsidR="00FD4347" w:rsidRPr="00EC58CC" w:rsidRDefault="00EC58CC" w:rsidP="00756671">
      <w:pPr>
        <w:outlineLvl w:val="0"/>
        <w:rPr>
          <w:rFonts w:ascii="Arial" w:hAnsi="Arial"/>
          <w:b/>
        </w:rPr>
      </w:pPr>
      <w:r w:rsidRPr="00EC58CC">
        <w:rPr>
          <w:rFonts w:ascii="Arial" w:hAnsi="Arial"/>
          <w:b/>
        </w:rPr>
        <w:t>Change History</w:t>
      </w:r>
    </w:p>
    <w:tbl>
      <w:tblPr>
        <w:tblStyle w:val="TableGrid"/>
        <w:tblW w:w="0" w:type="auto"/>
        <w:tblLook w:val="00BF"/>
      </w:tblPr>
      <w:tblGrid>
        <w:gridCol w:w="1030"/>
        <w:gridCol w:w="4844"/>
        <w:gridCol w:w="1698"/>
        <w:gridCol w:w="1284"/>
      </w:tblGrid>
      <w:tr w:rsidR="00FD4347">
        <w:tc>
          <w:tcPr>
            <w:tcW w:w="1030" w:type="dxa"/>
          </w:tcPr>
          <w:p w:rsidR="00FD4347" w:rsidRDefault="00FD4347" w:rsidP="00757ABD">
            <w:pPr>
              <w:rPr>
                <w:rFonts w:ascii="Arial" w:hAnsi="Arial"/>
              </w:rPr>
            </w:pPr>
            <w:r>
              <w:rPr>
                <w:rFonts w:ascii="Arial" w:hAnsi="Arial"/>
              </w:rPr>
              <w:t>Version #</w:t>
            </w:r>
          </w:p>
        </w:tc>
        <w:tc>
          <w:tcPr>
            <w:tcW w:w="4928" w:type="dxa"/>
          </w:tcPr>
          <w:p w:rsidR="00FD4347" w:rsidRDefault="00FD4347" w:rsidP="00757ABD">
            <w:pPr>
              <w:rPr>
                <w:rFonts w:ascii="Arial" w:hAnsi="Arial"/>
              </w:rPr>
            </w:pPr>
            <w:r>
              <w:rPr>
                <w:rFonts w:ascii="Arial" w:hAnsi="Arial"/>
              </w:rPr>
              <w:t>Significant change(s)</w:t>
            </w:r>
          </w:p>
        </w:tc>
        <w:tc>
          <w:tcPr>
            <w:tcW w:w="1710" w:type="dxa"/>
          </w:tcPr>
          <w:p w:rsidR="00FD4347" w:rsidRDefault="00FD4347" w:rsidP="00757ABD">
            <w:pPr>
              <w:rPr>
                <w:rFonts w:ascii="Arial" w:hAnsi="Arial"/>
              </w:rPr>
            </w:pPr>
            <w:r>
              <w:rPr>
                <w:rFonts w:ascii="Arial" w:hAnsi="Arial"/>
              </w:rPr>
              <w:t>Author</w:t>
            </w:r>
          </w:p>
        </w:tc>
        <w:tc>
          <w:tcPr>
            <w:tcW w:w="1188" w:type="dxa"/>
          </w:tcPr>
          <w:p w:rsidR="00FD4347" w:rsidRDefault="00FD4347" w:rsidP="00757ABD">
            <w:pPr>
              <w:rPr>
                <w:rFonts w:ascii="Arial" w:hAnsi="Arial"/>
              </w:rPr>
            </w:pPr>
            <w:r>
              <w:rPr>
                <w:rFonts w:ascii="Arial" w:hAnsi="Arial"/>
              </w:rPr>
              <w:t>Effective Date</w:t>
            </w:r>
          </w:p>
        </w:tc>
      </w:tr>
      <w:tr w:rsidR="00FD4347">
        <w:tc>
          <w:tcPr>
            <w:tcW w:w="1030" w:type="dxa"/>
          </w:tcPr>
          <w:p w:rsidR="00FD4347" w:rsidRDefault="000448FD" w:rsidP="00757ABD">
            <w:pPr>
              <w:rPr>
                <w:rFonts w:ascii="Arial" w:hAnsi="Arial"/>
              </w:rPr>
            </w:pPr>
            <w:r>
              <w:rPr>
                <w:rFonts w:ascii="Arial" w:hAnsi="Arial"/>
              </w:rPr>
              <w:t>1</w:t>
            </w:r>
          </w:p>
        </w:tc>
        <w:tc>
          <w:tcPr>
            <w:tcW w:w="4928" w:type="dxa"/>
          </w:tcPr>
          <w:p w:rsidR="00FD4347" w:rsidRDefault="00FD4347" w:rsidP="00757ABD">
            <w:pPr>
              <w:rPr>
                <w:rFonts w:ascii="Arial" w:hAnsi="Arial"/>
              </w:rPr>
            </w:pPr>
          </w:p>
        </w:tc>
        <w:tc>
          <w:tcPr>
            <w:tcW w:w="1710" w:type="dxa"/>
          </w:tcPr>
          <w:p w:rsidR="00FD4347" w:rsidRDefault="000448FD" w:rsidP="00757ABD">
            <w:pPr>
              <w:rPr>
                <w:rFonts w:ascii="Arial" w:hAnsi="Arial"/>
              </w:rPr>
            </w:pPr>
            <w:r>
              <w:rPr>
                <w:rFonts w:ascii="Arial" w:hAnsi="Arial"/>
              </w:rPr>
              <w:t>Moskaluk</w:t>
            </w:r>
          </w:p>
        </w:tc>
        <w:tc>
          <w:tcPr>
            <w:tcW w:w="1188" w:type="dxa"/>
          </w:tcPr>
          <w:p w:rsidR="00FD4347" w:rsidRDefault="000448FD" w:rsidP="00757ABD">
            <w:pPr>
              <w:rPr>
                <w:rFonts w:ascii="Arial" w:hAnsi="Arial"/>
              </w:rPr>
            </w:pPr>
            <w:r>
              <w:rPr>
                <w:rFonts w:ascii="Arial" w:hAnsi="Arial"/>
              </w:rPr>
              <w:t>12/1/2011</w:t>
            </w:r>
          </w:p>
        </w:tc>
      </w:tr>
      <w:tr w:rsidR="00FD4347">
        <w:tc>
          <w:tcPr>
            <w:tcW w:w="1030" w:type="dxa"/>
          </w:tcPr>
          <w:p w:rsidR="00FD4347" w:rsidRDefault="000448FD" w:rsidP="00757ABD">
            <w:pPr>
              <w:rPr>
                <w:rFonts w:ascii="Arial" w:hAnsi="Arial"/>
              </w:rPr>
            </w:pPr>
            <w:r>
              <w:rPr>
                <w:rFonts w:ascii="Arial" w:hAnsi="Arial"/>
              </w:rPr>
              <w:t>2</w:t>
            </w:r>
          </w:p>
        </w:tc>
        <w:tc>
          <w:tcPr>
            <w:tcW w:w="4928" w:type="dxa"/>
          </w:tcPr>
          <w:p w:rsidR="00FD4347" w:rsidRDefault="000448FD" w:rsidP="00757ABD">
            <w:pPr>
              <w:rPr>
                <w:rFonts w:ascii="Arial" w:hAnsi="Arial"/>
              </w:rPr>
            </w:pPr>
            <w:r>
              <w:rPr>
                <w:rFonts w:ascii="Arial" w:hAnsi="Arial"/>
              </w:rPr>
              <w:t>Needle gauge specification. Changes in sequence of procedure steps.</w:t>
            </w:r>
          </w:p>
        </w:tc>
        <w:tc>
          <w:tcPr>
            <w:tcW w:w="1710" w:type="dxa"/>
          </w:tcPr>
          <w:p w:rsidR="00FD4347" w:rsidRDefault="000448FD" w:rsidP="00757ABD">
            <w:pPr>
              <w:rPr>
                <w:rFonts w:ascii="Arial" w:hAnsi="Arial"/>
              </w:rPr>
            </w:pPr>
            <w:r>
              <w:rPr>
                <w:rFonts w:ascii="Arial" w:hAnsi="Arial"/>
              </w:rPr>
              <w:t>Moskaluk</w:t>
            </w:r>
          </w:p>
        </w:tc>
        <w:tc>
          <w:tcPr>
            <w:tcW w:w="1188" w:type="dxa"/>
          </w:tcPr>
          <w:p w:rsidR="00FD4347" w:rsidRDefault="000448FD" w:rsidP="00757ABD">
            <w:pPr>
              <w:rPr>
                <w:rFonts w:ascii="Arial" w:hAnsi="Arial"/>
              </w:rPr>
            </w:pPr>
            <w:r>
              <w:rPr>
                <w:rFonts w:ascii="Arial" w:hAnsi="Arial"/>
              </w:rPr>
              <w:t>8/15/2011</w:t>
            </w:r>
          </w:p>
        </w:tc>
      </w:tr>
    </w:tbl>
    <w:p w:rsidR="00757ABD" w:rsidRPr="00757ABD" w:rsidRDefault="00757ABD" w:rsidP="00757ABD">
      <w:pPr>
        <w:tabs>
          <w:tab w:val="left" w:pos="7780"/>
        </w:tabs>
        <w:rPr>
          <w:rFonts w:ascii="Arial" w:hAnsi="Arial"/>
        </w:rPr>
      </w:pPr>
      <w:bookmarkStart w:id="0" w:name="_GoBack"/>
      <w:bookmarkEnd w:id="0"/>
      <w:r w:rsidRPr="00757ABD">
        <w:rPr>
          <w:rFonts w:ascii="Arial" w:hAnsi="Arial"/>
        </w:rPr>
        <w:tab/>
      </w:r>
    </w:p>
    <w:sectPr w:rsidR="00757ABD" w:rsidRPr="00757ABD" w:rsidSect="00757AB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A8" w:rsidRDefault="006647A8">
      <w:r>
        <w:separator/>
      </w:r>
    </w:p>
  </w:endnote>
  <w:endnote w:type="continuationSeparator" w:id="0">
    <w:p w:rsidR="006647A8" w:rsidRDefault="00664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68" w:rsidRDefault="00097879" w:rsidP="00757ABD">
    <w:pPr>
      <w:pStyle w:val="Footer"/>
      <w:jc w:val="center"/>
      <w:rPr>
        <w:rStyle w:val="PageNumber"/>
      </w:rPr>
    </w:pPr>
    <w:r>
      <w:rPr>
        <w:noProof/>
      </w:rPr>
      <w:pict>
        <v:line id="Line 2" o:spid="_x0000_s1027" style="position:absolute;left:0;text-align:left;z-index:251659264;visibility:visible" from="-4.9pt,-7.6pt" to="436.1pt,-7.6pt" wrapcoords="0 0 0 2 591 2 591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" strokecolor="#938953 [1614]" strokeweight="2.25pt">
          <v:fill o:detectmouseclick="t"/>
          <v:shadow on="t" opacity="22938f" offset="0"/>
          <w10:wrap type="tight"/>
        </v:line>
      </w:pict>
    </w:r>
    <w:r w:rsidR="00273E68">
      <w:t xml:space="preserve">Pg. </w:t>
    </w:r>
    <w:r>
      <w:rPr>
        <w:rStyle w:val="PageNumber"/>
      </w:rPr>
      <w:fldChar w:fldCharType="begin"/>
    </w:r>
    <w:r w:rsidR="00273E68">
      <w:rPr>
        <w:rStyle w:val="PageNumber"/>
      </w:rPr>
      <w:instrText xml:space="preserve"> PAGE </w:instrText>
    </w:r>
    <w:r>
      <w:rPr>
        <w:rStyle w:val="PageNumber"/>
      </w:rPr>
      <w:fldChar w:fldCharType="separate"/>
    </w:r>
    <w:r w:rsidR="00E32578">
      <w:rPr>
        <w:rStyle w:val="PageNumber"/>
        <w:noProof/>
      </w:rPr>
      <w:t>2</w:t>
    </w:r>
    <w:r>
      <w:rPr>
        <w:rStyle w:val="PageNumber"/>
      </w:rPr>
      <w:fldChar w:fldCharType="end"/>
    </w:r>
    <w:r w:rsidR="00273E68">
      <w:rPr>
        <w:rStyle w:val="PageNumber"/>
      </w:rPr>
      <w:t xml:space="preserve"> of </w:t>
    </w:r>
    <w:r>
      <w:rPr>
        <w:rStyle w:val="PageNumber"/>
      </w:rPr>
      <w:fldChar w:fldCharType="begin"/>
    </w:r>
    <w:r w:rsidR="00273E68">
      <w:rPr>
        <w:rStyle w:val="PageNumber"/>
      </w:rPr>
      <w:instrText xml:space="preserve"> NUMPAGES </w:instrText>
    </w:r>
    <w:r>
      <w:rPr>
        <w:rStyle w:val="PageNumber"/>
      </w:rPr>
      <w:fldChar w:fldCharType="separate"/>
    </w:r>
    <w:r w:rsidR="00E32578">
      <w:rPr>
        <w:rStyle w:val="PageNumber"/>
        <w:noProof/>
      </w:rPr>
      <w:t>2</w:t>
    </w:r>
    <w:r>
      <w:rPr>
        <w:rStyle w:val="PageNumber"/>
      </w:rPr>
      <w:fldChar w:fldCharType="end"/>
    </w:r>
  </w:p>
  <w:p w:rsidR="00273E68" w:rsidRPr="006115ED" w:rsidRDefault="00273E68" w:rsidP="006115ED">
    <w:pPr>
      <w:pStyle w:val="Footer"/>
      <w:jc w:val="right"/>
      <w:rPr>
        <w:i/>
      </w:rPr>
    </w:pPr>
    <w:r>
      <w:rPr>
        <w:rStyle w:val="PageNumber"/>
        <w:i/>
      </w:rPr>
      <w:t>Last form update: 11/17</w:t>
    </w:r>
    <w:r w:rsidRPr="006115ED">
      <w:rPr>
        <w:rStyle w:val="PageNumber"/>
        <w:i/>
      </w:rPr>
      <w:t>/2010 CAM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A8" w:rsidRDefault="006647A8">
      <w:r>
        <w:separator/>
      </w:r>
    </w:p>
  </w:footnote>
  <w:footnote w:type="continuationSeparator" w:id="0">
    <w:p w:rsidR="006647A8" w:rsidRDefault="00664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68" w:rsidRPr="00757ABD" w:rsidRDefault="00273E68" w:rsidP="00EC58CC">
    <w:pPr>
      <w:pStyle w:val="Header"/>
      <w:tabs>
        <w:tab w:val="left" w:pos="1800"/>
        <w:tab w:val="left" w:pos="1890"/>
      </w:tabs>
      <w:rPr>
        <w:b/>
      </w:rPr>
    </w:pPr>
    <w:r w:rsidRPr="00757ABD">
      <w:rPr>
        <w:b/>
      </w:rPr>
      <w:t>LCBRN Standard Operating Procedure</w:t>
    </w:r>
  </w:p>
  <w:p w:rsidR="00273E68" w:rsidRDefault="00273E68" w:rsidP="00EC58CC">
    <w:pPr>
      <w:pStyle w:val="Header"/>
      <w:tabs>
        <w:tab w:val="left" w:pos="1170"/>
        <w:tab w:val="left" w:pos="1800"/>
      </w:tabs>
    </w:pPr>
    <w:r w:rsidRPr="00FA1910">
      <w:rPr>
        <w:b/>
      </w:rPr>
      <w:t>SOP#:</w:t>
    </w:r>
    <w:r w:rsidR="009178DC">
      <w:t xml:space="preserve">  10</w:t>
    </w:r>
    <w:r>
      <w:tab/>
    </w:r>
    <w:r>
      <w:tab/>
    </w:r>
    <w:r w:rsidRPr="00FA1910">
      <w:rPr>
        <w:b/>
      </w:rPr>
      <w:t>Version#:</w:t>
    </w:r>
    <w:r>
      <w:rPr>
        <w:b/>
      </w:rPr>
      <w:t xml:space="preserve"> </w:t>
    </w:r>
    <w:r w:rsidR="000448FD">
      <w:t>2</w:t>
    </w:r>
    <w:r>
      <w:tab/>
    </w:r>
    <w:r w:rsidR="001F6FF8">
      <w:tab/>
    </w:r>
    <w:r w:rsidRPr="00FA1910">
      <w:rPr>
        <w:b/>
      </w:rPr>
      <w:t>Effective Date:</w:t>
    </w:r>
    <w:r w:rsidRPr="00FA1910">
      <w:t xml:space="preserve"> </w:t>
    </w:r>
    <w:r w:rsidRPr="00757ABD">
      <w:t xml:space="preserve"> </w:t>
    </w:r>
    <w:r w:rsidR="000448FD">
      <w:t>8/15/2011</w:t>
    </w:r>
  </w:p>
  <w:p w:rsidR="00273E68" w:rsidRDefault="00097879" w:rsidP="00EC58CC">
    <w:pPr>
      <w:pStyle w:val="Header"/>
      <w:tabs>
        <w:tab w:val="left" w:pos="1170"/>
        <w:tab w:val="left" w:pos="1800"/>
      </w:tabs>
      <w:rPr>
        <w:b/>
      </w:rPr>
    </w:pPr>
    <w:r>
      <w:rPr>
        <w:b/>
        <w:noProof/>
      </w:rPr>
      <w:pict>
        <v:line id="Line 1" o:spid="_x0000_s1026" style="position:absolute;z-index:251658240;visibility:visible" from="-4.9pt,17.05pt" to="436.1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" strokecolor="#938953 [1614]" strokeweight="2.25pt">
          <v:fill o:detectmouseclick="t"/>
          <v:shadow on="t" opacity="22938f" offset="0"/>
        </v:line>
      </w:pict>
    </w:r>
    <w:r w:rsidR="00273E68" w:rsidRPr="00FA1910">
      <w:rPr>
        <w:b/>
      </w:rPr>
      <w:t>SOP Title:</w:t>
    </w:r>
    <w:r w:rsidR="00273E68" w:rsidRPr="00FA1910">
      <w:rPr>
        <w:b/>
      </w:rPr>
      <w:tab/>
    </w:r>
    <w:r w:rsidR="00273E68" w:rsidRPr="00CE44D7">
      <w:t>Venipuncture</w:t>
    </w:r>
  </w:p>
  <w:p w:rsidR="00273E68" w:rsidRPr="00FA1910" w:rsidRDefault="00273E68" w:rsidP="00EC58CC">
    <w:pPr>
      <w:pStyle w:val="Header"/>
      <w:tabs>
        <w:tab w:val="left" w:pos="1170"/>
        <w:tab w:val="left" w:pos="1800"/>
      </w:tabs>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12958"/>
    <w:multiLevelType w:val="hybridMultilevel"/>
    <w:tmpl w:val="84A2E518"/>
    <w:lvl w:ilvl="0" w:tplc="04090011">
      <w:start w:val="1"/>
      <w:numFmt w:val="decimal"/>
      <w:lvlText w:val="%1)"/>
      <w:lvlJc w:val="left"/>
      <w:pPr>
        <w:ind w:left="720" w:hanging="360"/>
      </w:pPr>
      <w:rPr>
        <w:rFonts w:hint="default"/>
      </w:rPr>
    </w:lvl>
    <w:lvl w:ilvl="1" w:tplc="8FAC27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51BDB"/>
    <w:multiLevelType w:val="hybridMultilevel"/>
    <w:tmpl w:val="9FD090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colormenu v:ext="edit" strokecolor="none [1614]"/>
    </o:shapedefaults>
    <o:shapelayout v:ext="edit">
      <o:idmap v:ext="edit" data="1"/>
    </o:shapelayout>
  </w:hdrShapeDefaults>
  <w:footnotePr>
    <w:footnote w:id="-1"/>
    <w:footnote w:id="0"/>
  </w:footnotePr>
  <w:endnotePr>
    <w:endnote w:id="-1"/>
    <w:endnote w:id="0"/>
  </w:endnotePr>
  <w:compat/>
  <w:rsids>
    <w:rsidRoot w:val="00757ABD"/>
    <w:rsid w:val="000448FD"/>
    <w:rsid w:val="00097879"/>
    <w:rsid w:val="001F6FF8"/>
    <w:rsid w:val="00273E68"/>
    <w:rsid w:val="002B429F"/>
    <w:rsid w:val="00425732"/>
    <w:rsid w:val="005D588F"/>
    <w:rsid w:val="005F074A"/>
    <w:rsid w:val="006115ED"/>
    <w:rsid w:val="006647A8"/>
    <w:rsid w:val="00756671"/>
    <w:rsid w:val="00757ABD"/>
    <w:rsid w:val="007D1E42"/>
    <w:rsid w:val="007F13F0"/>
    <w:rsid w:val="009178DC"/>
    <w:rsid w:val="009208C5"/>
    <w:rsid w:val="00941E2D"/>
    <w:rsid w:val="009762F8"/>
    <w:rsid w:val="00BC5395"/>
    <w:rsid w:val="00C217EA"/>
    <w:rsid w:val="00C44F51"/>
    <w:rsid w:val="00CE44D7"/>
    <w:rsid w:val="00D7128E"/>
    <w:rsid w:val="00E32578"/>
    <w:rsid w:val="00EC58CC"/>
    <w:rsid w:val="00FA1910"/>
    <w:rsid w:val="00FD43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strokecolor="none [1614]"/>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F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F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Company>University of Virginia</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Moskaluk</dc:creator>
  <cp:keywords/>
  <cp:lastModifiedBy>Rebecca Blackwell</cp:lastModifiedBy>
  <cp:revision>3</cp:revision>
  <dcterms:created xsi:type="dcterms:W3CDTF">2011-08-15T14:06:00Z</dcterms:created>
  <dcterms:modified xsi:type="dcterms:W3CDTF">2012-06-04T16:00:00Z</dcterms:modified>
</cp:coreProperties>
</file>